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8C243" w14:textId="5D648EE9" w:rsidR="00920E20" w:rsidRPr="00920E20" w:rsidRDefault="00920E20" w:rsidP="00986736">
      <w:pPr>
        <w:rPr>
          <w:b/>
          <w:bCs/>
          <w:lang w:val="en-GB"/>
        </w:rPr>
      </w:pPr>
      <w:r w:rsidRPr="00920E20">
        <w:rPr>
          <w:b/>
          <w:bCs/>
          <w:lang w:val="en-GB"/>
        </w:rPr>
        <w:t>Appendix A</w:t>
      </w:r>
    </w:p>
    <w:p w14:paraId="41969F3E" w14:textId="06B8F842" w:rsidR="00986736" w:rsidRPr="00920E20" w:rsidRDefault="00986736" w:rsidP="00986736">
      <w:pPr>
        <w:rPr>
          <w:u w:val="single"/>
          <w:lang w:val="en-US"/>
        </w:rPr>
      </w:pPr>
      <w:r w:rsidRPr="00920E20">
        <w:rPr>
          <w:u w:val="single"/>
          <w:lang w:val="en-GB"/>
        </w:rPr>
        <w:t>Whole-rock geochemistry</w:t>
      </w:r>
      <w:r w:rsidRPr="00920E20">
        <w:rPr>
          <w:u w:val="single"/>
          <w:lang w:val="en-US"/>
        </w:rPr>
        <w:t> </w:t>
      </w:r>
    </w:p>
    <w:p w14:paraId="4A67D2C2" w14:textId="6B776B38" w:rsidR="00986736" w:rsidRPr="00986736" w:rsidRDefault="00986736" w:rsidP="00986736">
      <w:pPr>
        <w:jc w:val="both"/>
        <w:rPr>
          <w:lang w:val="en-US"/>
        </w:rPr>
      </w:pPr>
      <w:r w:rsidRPr="00986736">
        <w:rPr>
          <w:lang w:val="en-GB"/>
        </w:rPr>
        <w:t xml:space="preserve">Geochemical analyses of sample GSS-31 were performed at Activation Laboratories (Actlabs), Ontario, Canada. Weathered surfaces were removed, and fresh fragments were handpicked, crushed and </w:t>
      </w:r>
      <w:r w:rsidR="00920E20">
        <w:rPr>
          <w:lang w:val="en-GB"/>
        </w:rPr>
        <w:t>p</w:t>
      </w:r>
      <w:r w:rsidRPr="00986736">
        <w:rPr>
          <w:lang w:val="en-GB"/>
        </w:rPr>
        <w:t>ulverised in a steel mill (mild steel) to a fine powder of </w:t>
      </w:r>
      <w:r w:rsidR="00920E20">
        <w:rPr>
          <w:lang w:val="en-GB"/>
        </w:rPr>
        <w:t>about</w:t>
      </w:r>
      <w:r w:rsidRPr="00986736">
        <w:rPr>
          <w:lang w:val="en-GB"/>
        </w:rPr>
        <w:t> 105 µm.  The sample was prepared and analysed in a batch system, where it was mixed with a flux of lithium metaborate and lithium tetraborate, and treated by fusion technique. The sample was run for major oxides on a combination simultaneous/sequential analysis by ICP-OES (Agilent 5900) and ICP-MS (Agilent 7900). The standards used were NIST-694, NCS DC71305 (GBW 07113), NIST-696, DNC-1a, BHVO-2, W-2b, and SY-5, as reported by the laboratory. Detection limit for major oxides is 0.01 wt.%, except for MnO and TiO</w:t>
      </w:r>
      <w:r w:rsidRPr="00986736">
        <w:rPr>
          <w:vertAlign w:val="subscript"/>
          <w:lang w:val="en-GB"/>
        </w:rPr>
        <w:t>2</w:t>
      </w:r>
      <w:r w:rsidRPr="00986736">
        <w:rPr>
          <w:lang w:val="en-GB"/>
        </w:rPr>
        <w:t xml:space="preserve">, which </w:t>
      </w:r>
      <w:r w:rsidR="00920E20">
        <w:rPr>
          <w:lang w:val="en-GB"/>
        </w:rPr>
        <w:t>are</w:t>
      </w:r>
      <w:r w:rsidRPr="00986736">
        <w:rPr>
          <w:lang w:val="en-GB"/>
        </w:rPr>
        <w:t xml:space="preserve"> 0.005 wt.% and 0.001 wt.%, respectively. Laboratory procedures are described at </w:t>
      </w:r>
      <w:hyperlink r:id="rId4" w:tgtFrame="_blank" w:history="1">
        <w:r w:rsidRPr="00986736">
          <w:rPr>
            <w:rStyle w:val="Hipervnculo"/>
            <w:lang w:val="en-GB"/>
          </w:rPr>
          <w:t>www.actlabs.com</w:t>
        </w:r>
      </w:hyperlink>
      <w:r w:rsidRPr="00986736">
        <w:rPr>
          <w:lang w:val="en-GB"/>
        </w:rPr>
        <w:t> (Actlabs code 4 LithoResearch).</w:t>
      </w:r>
      <w:r w:rsidRPr="00986736">
        <w:rPr>
          <w:lang w:val="en-US"/>
        </w:rPr>
        <w:t> </w:t>
      </w:r>
    </w:p>
    <w:p w14:paraId="0C0D3006" w14:textId="046D4944" w:rsidR="00986736" w:rsidRPr="00986736" w:rsidRDefault="00986736" w:rsidP="00986736">
      <w:pPr>
        <w:jc w:val="both"/>
        <w:rPr>
          <w:lang w:val="en-US"/>
        </w:rPr>
      </w:pPr>
      <w:r w:rsidRPr="00986736">
        <w:rPr>
          <w:lang w:val="en-GB"/>
        </w:rPr>
        <w:t xml:space="preserve">Geochemical analyses of bulk rock composition of sample GSS-208 were performed at the Chemical Laboratory Unit of </w:t>
      </w:r>
      <w:r w:rsidR="00267270">
        <w:rPr>
          <w:lang w:val="en-GB"/>
        </w:rPr>
        <w:t>Sernageomin.</w:t>
      </w:r>
      <w:r w:rsidRPr="00986736">
        <w:rPr>
          <w:lang w:val="en-GB"/>
        </w:rPr>
        <w:t xml:space="preserve"> Rock sample was grounded and pulverised below 60 μm. The pulverised sample was then mixed in a 1:3 ratio with a mixture of metaborate and lithium tetraborate, where the final ratio of sample:mixture </w:t>
      </w:r>
      <w:r w:rsidR="00267270">
        <w:rPr>
          <w:lang w:val="en-GB"/>
        </w:rPr>
        <w:t>wa</w:t>
      </w:r>
      <w:r w:rsidRPr="00986736">
        <w:rPr>
          <w:lang w:val="en-GB"/>
        </w:rPr>
        <w:t xml:space="preserve">s 1:10. A portion of the final mixture was prepared for major element analysis by X-ray </w:t>
      </w:r>
      <w:r w:rsidR="00267270">
        <w:rPr>
          <w:lang w:val="en-GB"/>
        </w:rPr>
        <w:t>F</w:t>
      </w:r>
      <w:r w:rsidRPr="00986736">
        <w:rPr>
          <w:lang w:val="en-GB"/>
        </w:rPr>
        <w:t xml:space="preserve">luorescence (XRF), where it </w:t>
      </w:r>
      <w:r w:rsidR="00267270">
        <w:rPr>
          <w:lang w:val="en-GB"/>
        </w:rPr>
        <w:t>wa</w:t>
      </w:r>
      <w:r w:rsidRPr="00986736">
        <w:rPr>
          <w:lang w:val="en-GB"/>
        </w:rPr>
        <w:t xml:space="preserve">s fused into a glass bead. The concentration of major elements represented as percentage by weight of oxides </w:t>
      </w:r>
      <w:r w:rsidR="00267270">
        <w:rPr>
          <w:lang w:val="en-GB"/>
        </w:rPr>
        <w:t>wa</w:t>
      </w:r>
      <w:r w:rsidRPr="00986736">
        <w:rPr>
          <w:lang w:val="en-GB"/>
        </w:rPr>
        <w:t>s measured using a Panalytical AXIOS.</w:t>
      </w:r>
    </w:p>
    <w:p w14:paraId="70F81DF5" w14:textId="77777777" w:rsidR="00986736" w:rsidRPr="00986736" w:rsidRDefault="00986736" w:rsidP="00986736">
      <w:pPr>
        <w:rPr>
          <w:lang w:val="en-US"/>
        </w:rPr>
      </w:pPr>
      <w:r w:rsidRPr="00986736">
        <w:rPr>
          <w:lang w:val="en-US"/>
        </w:rPr>
        <w:t> </w:t>
      </w:r>
    </w:p>
    <w:p w14:paraId="79A240A7" w14:textId="2B4D78CD" w:rsidR="00986736" w:rsidRPr="00920E20" w:rsidRDefault="00986736" w:rsidP="00986736">
      <w:pPr>
        <w:rPr>
          <w:u w:val="single"/>
          <w:lang w:val="en-US"/>
        </w:rPr>
      </w:pPr>
      <w:r w:rsidRPr="00920E20">
        <w:rPr>
          <w:u w:val="single"/>
          <w:lang w:val="en-GB"/>
        </w:rPr>
        <w:t>Mineral</w:t>
      </w:r>
      <w:r w:rsidR="00267270">
        <w:rPr>
          <w:u w:val="single"/>
          <w:lang w:val="en-GB"/>
        </w:rPr>
        <w:t xml:space="preserve"> c</w:t>
      </w:r>
      <w:r w:rsidRPr="00920E20">
        <w:rPr>
          <w:u w:val="single"/>
          <w:lang w:val="en-GB"/>
        </w:rPr>
        <w:t>hemistry</w:t>
      </w:r>
      <w:r w:rsidRPr="00920E20">
        <w:rPr>
          <w:u w:val="single"/>
          <w:lang w:val="en-US"/>
        </w:rPr>
        <w:t> </w:t>
      </w:r>
    </w:p>
    <w:p w14:paraId="60974239" w14:textId="5D7377A6" w:rsidR="00986736" w:rsidRPr="00986736" w:rsidRDefault="00986736" w:rsidP="00986736">
      <w:pPr>
        <w:jc w:val="both"/>
        <w:rPr>
          <w:lang w:val="en-US"/>
        </w:rPr>
      </w:pPr>
      <w:r w:rsidRPr="00986736">
        <w:rPr>
          <w:lang w:val="en-GB"/>
        </w:rPr>
        <w:t>Initially, SEM-EDS analyses of samples GSS-31 and GSS-208 were performed at the Scanning Electronic Microscopy Laboratory of S</w:t>
      </w:r>
      <w:r w:rsidR="00267270">
        <w:rPr>
          <w:lang w:val="en-GB"/>
        </w:rPr>
        <w:t>ernageomin</w:t>
      </w:r>
      <w:r w:rsidRPr="00986736">
        <w:rPr>
          <w:lang w:val="en-GB"/>
        </w:rPr>
        <w:t xml:space="preserve">, with a Zeiss EVO MA-10 equipped with an OXFORD X-ACT Instruments EDS detector. Samples were prepared with a carbon coating of 80 nm thickness. The instrument was set to 15 keV and 1.7 nA. The size of the scanning frame was adjusted to the respective grain size, with an average of 2.7 µm. Results are available in </w:t>
      </w:r>
      <w:r w:rsidR="00267270">
        <w:rPr>
          <w:lang w:val="en-GB"/>
        </w:rPr>
        <w:t>S</w:t>
      </w:r>
      <w:r w:rsidRPr="00986736">
        <w:rPr>
          <w:lang w:val="en-GB"/>
        </w:rPr>
        <w:t xml:space="preserve">upplementary </w:t>
      </w:r>
      <w:r>
        <w:rPr>
          <w:lang w:val="en-GB"/>
        </w:rPr>
        <w:t xml:space="preserve">Table </w:t>
      </w:r>
      <w:r w:rsidR="00D451B4">
        <w:rPr>
          <w:lang w:val="en-GB"/>
        </w:rPr>
        <w:t>1</w:t>
      </w:r>
      <w:r>
        <w:rPr>
          <w:lang w:val="en-GB"/>
        </w:rPr>
        <w:t>)</w:t>
      </w:r>
      <w:r w:rsidRPr="00986736">
        <w:rPr>
          <w:lang w:val="en-GB"/>
        </w:rPr>
        <w:t>.</w:t>
      </w:r>
      <w:r w:rsidRPr="00986736">
        <w:rPr>
          <w:lang w:val="en-US"/>
        </w:rPr>
        <w:t> </w:t>
      </w:r>
    </w:p>
    <w:p w14:paraId="25D472C7" w14:textId="78EC1DDA" w:rsidR="00986736" w:rsidRPr="00986736" w:rsidRDefault="00986736" w:rsidP="00986736">
      <w:pPr>
        <w:jc w:val="both"/>
        <w:rPr>
          <w:lang w:val="en-US"/>
        </w:rPr>
      </w:pPr>
      <w:r w:rsidRPr="00986736">
        <w:rPr>
          <w:lang w:val="en-GB"/>
        </w:rPr>
        <w:t>Mineral chemical analyses of five selected samples (GSS-31, GSS-208, 3/276, 3/278</w:t>
      </w:r>
      <w:r w:rsidR="00267270">
        <w:rPr>
          <w:lang w:val="en-GB"/>
        </w:rPr>
        <w:t>,</w:t>
      </w:r>
      <w:r w:rsidRPr="00986736">
        <w:rPr>
          <w:lang w:val="en-GB"/>
        </w:rPr>
        <w:t xml:space="preserve"> and 3/347) were obtained using an electron microprobe JEOL JXA-8530F of the Central Institution Electron Microscopy (ZELMI) at the Technische Universität Berlin. After an overview measurement by means of EDX analysis (energy-dispersive X-ray spectroscopy), the chemical composition of feldspar, garnet, biotite, sillimanite, amphibole, white mica (muscovite), chlorite</w:t>
      </w:r>
      <w:r w:rsidR="00267270">
        <w:rPr>
          <w:lang w:val="en-GB"/>
        </w:rPr>
        <w:t xml:space="preserve">, </w:t>
      </w:r>
      <w:r w:rsidRPr="00986736">
        <w:rPr>
          <w:lang w:val="en-GB"/>
        </w:rPr>
        <w:t xml:space="preserve">and opaque mineral was determined by wavelength-dispersive analysis (WDS). All elements were measured for 20 seconds (peak) and 10 seconds (background) at a current of 20 nA and an accelerating voltage of 15 kV. For all analyses, backscatter electron beams (BSE images) were created. The entire WDS results are provided in </w:t>
      </w:r>
      <w:r w:rsidR="00267270">
        <w:rPr>
          <w:lang w:val="en-GB"/>
        </w:rPr>
        <w:t>S</w:t>
      </w:r>
      <w:r w:rsidRPr="00986736">
        <w:rPr>
          <w:lang w:val="en-GB"/>
        </w:rPr>
        <w:t xml:space="preserve">upplementary </w:t>
      </w:r>
      <w:r>
        <w:rPr>
          <w:lang w:val="en-GB"/>
        </w:rPr>
        <w:t xml:space="preserve">Table </w:t>
      </w:r>
      <w:r w:rsidR="00D451B4">
        <w:rPr>
          <w:lang w:val="en-GB"/>
        </w:rPr>
        <w:t>2</w:t>
      </w:r>
      <w:r>
        <w:rPr>
          <w:lang w:val="en-GB"/>
        </w:rPr>
        <w:t>)</w:t>
      </w:r>
      <w:r w:rsidRPr="00986736">
        <w:rPr>
          <w:lang w:val="en-GB"/>
        </w:rPr>
        <w:t>.</w:t>
      </w:r>
      <w:r w:rsidRPr="00986736">
        <w:rPr>
          <w:lang w:val="en-US"/>
        </w:rPr>
        <w:t> </w:t>
      </w:r>
    </w:p>
    <w:p w14:paraId="4C81ED52" w14:textId="77777777" w:rsidR="00413DE1" w:rsidRPr="00986736" w:rsidRDefault="00413DE1">
      <w:pPr>
        <w:rPr>
          <w:lang w:val="en-US"/>
        </w:rPr>
      </w:pPr>
    </w:p>
    <w:sectPr w:rsidR="00413DE1" w:rsidRPr="0098673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00D"/>
    <w:rsid w:val="00001CD6"/>
    <w:rsid w:val="001769E9"/>
    <w:rsid w:val="00267270"/>
    <w:rsid w:val="00413DE1"/>
    <w:rsid w:val="006F41E4"/>
    <w:rsid w:val="0079000D"/>
    <w:rsid w:val="008238BC"/>
    <w:rsid w:val="00880699"/>
    <w:rsid w:val="00920E20"/>
    <w:rsid w:val="00986736"/>
    <w:rsid w:val="00AE26A1"/>
    <w:rsid w:val="00D451B4"/>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257F"/>
  <w15:chartTrackingRefBased/>
  <w15:docId w15:val="{2CAF2A1D-9043-4FF5-8CA2-984E59F1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0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90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900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900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900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9000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000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000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000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000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9000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900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900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900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900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00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00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000D"/>
    <w:rPr>
      <w:rFonts w:eastAsiaTheme="majorEastAsia" w:cstheme="majorBidi"/>
      <w:color w:val="272727" w:themeColor="text1" w:themeTint="D8"/>
    </w:rPr>
  </w:style>
  <w:style w:type="paragraph" w:styleId="Ttulo">
    <w:name w:val="Title"/>
    <w:basedOn w:val="Normal"/>
    <w:next w:val="Normal"/>
    <w:link w:val="TtuloCar"/>
    <w:uiPriority w:val="10"/>
    <w:qFormat/>
    <w:rsid w:val="00790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00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000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00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000D"/>
    <w:pPr>
      <w:spacing w:before="160"/>
      <w:jc w:val="center"/>
    </w:pPr>
    <w:rPr>
      <w:i/>
      <w:iCs/>
      <w:color w:val="404040" w:themeColor="text1" w:themeTint="BF"/>
    </w:rPr>
  </w:style>
  <w:style w:type="character" w:customStyle="1" w:styleId="CitaCar">
    <w:name w:val="Cita Car"/>
    <w:basedOn w:val="Fuentedeprrafopredeter"/>
    <w:link w:val="Cita"/>
    <w:uiPriority w:val="29"/>
    <w:rsid w:val="0079000D"/>
    <w:rPr>
      <w:i/>
      <w:iCs/>
      <w:color w:val="404040" w:themeColor="text1" w:themeTint="BF"/>
    </w:rPr>
  </w:style>
  <w:style w:type="paragraph" w:styleId="Prrafodelista">
    <w:name w:val="List Paragraph"/>
    <w:basedOn w:val="Normal"/>
    <w:uiPriority w:val="34"/>
    <w:qFormat/>
    <w:rsid w:val="0079000D"/>
    <w:pPr>
      <w:ind w:left="720"/>
      <w:contextualSpacing/>
    </w:pPr>
  </w:style>
  <w:style w:type="character" w:styleId="nfasisintenso">
    <w:name w:val="Intense Emphasis"/>
    <w:basedOn w:val="Fuentedeprrafopredeter"/>
    <w:uiPriority w:val="21"/>
    <w:qFormat/>
    <w:rsid w:val="0079000D"/>
    <w:rPr>
      <w:i/>
      <w:iCs/>
      <w:color w:val="0F4761" w:themeColor="accent1" w:themeShade="BF"/>
    </w:rPr>
  </w:style>
  <w:style w:type="paragraph" w:styleId="Citadestacada">
    <w:name w:val="Intense Quote"/>
    <w:basedOn w:val="Normal"/>
    <w:next w:val="Normal"/>
    <w:link w:val="CitadestacadaCar"/>
    <w:uiPriority w:val="30"/>
    <w:qFormat/>
    <w:rsid w:val="00790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9000D"/>
    <w:rPr>
      <w:i/>
      <w:iCs/>
      <w:color w:val="0F4761" w:themeColor="accent1" w:themeShade="BF"/>
    </w:rPr>
  </w:style>
  <w:style w:type="character" w:styleId="Referenciaintensa">
    <w:name w:val="Intense Reference"/>
    <w:basedOn w:val="Fuentedeprrafopredeter"/>
    <w:uiPriority w:val="32"/>
    <w:qFormat/>
    <w:rsid w:val="0079000D"/>
    <w:rPr>
      <w:b/>
      <w:bCs/>
      <w:smallCaps/>
      <w:color w:val="0F4761" w:themeColor="accent1" w:themeShade="BF"/>
      <w:spacing w:val="5"/>
    </w:rPr>
  </w:style>
  <w:style w:type="character" w:styleId="Hipervnculo">
    <w:name w:val="Hyperlink"/>
    <w:basedOn w:val="Fuentedeprrafopredeter"/>
    <w:uiPriority w:val="99"/>
    <w:unhideWhenUsed/>
    <w:rsid w:val="00986736"/>
    <w:rPr>
      <w:color w:val="467886" w:themeColor="hyperlink"/>
      <w:u w:val="single"/>
    </w:rPr>
  </w:style>
  <w:style w:type="character" w:styleId="Mencinsinresolver">
    <w:name w:val="Unresolved Mention"/>
    <w:basedOn w:val="Fuentedeprrafopredeter"/>
    <w:uiPriority w:val="99"/>
    <w:semiHidden/>
    <w:unhideWhenUsed/>
    <w:rsid w:val="00986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ctlab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440</Words>
  <Characters>2457</Characters>
  <Application>Microsoft Office Word</Application>
  <DocSecurity>0</DocSecurity>
  <Lines>39</Lines>
  <Paragraphs>8</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Sepúlveda</dc:creator>
  <cp:keywords/>
  <dc:description/>
  <cp:lastModifiedBy>Daniel Bertin Ugarte</cp:lastModifiedBy>
  <cp:revision>5</cp:revision>
  <dcterms:created xsi:type="dcterms:W3CDTF">2026-03-29T19:54:00Z</dcterms:created>
  <dcterms:modified xsi:type="dcterms:W3CDTF">2026-05-08T20:19:00Z</dcterms:modified>
</cp:coreProperties>
</file>